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E2E" w:rsidRPr="00796E2E" w:rsidRDefault="00796E2E" w:rsidP="00796E2E">
      <w:pPr>
        <w:spacing w:after="120"/>
        <w:rPr>
          <w:rFonts w:ascii="Times New Roman" w:hAnsi="Times New Roman"/>
          <w:sz w:val="22"/>
        </w:rPr>
      </w:pPr>
      <w:r w:rsidRPr="00796E2E">
        <w:rPr>
          <w:rFonts w:ascii="Times New Roman" w:hAnsi="Times New Roman"/>
          <w:sz w:val="22"/>
        </w:rPr>
        <w:t xml:space="preserve">A. Henderson, “Why Regions Matter: Sub-State Politics in Comparative Perspective,” </w:t>
      </w:r>
      <w:r w:rsidRPr="00796E2E">
        <w:rPr>
          <w:rFonts w:ascii="Times New Roman" w:hAnsi="Times New Roman"/>
          <w:i/>
          <w:sz w:val="22"/>
        </w:rPr>
        <w:t xml:space="preserve">Regional and Federal Studies </w:t>
      </w:r>
      <w:r w:rsidRPr="00796E2E">
        <w:rPr>
          <w:rFonts w:ascii="Times New Roman" w:hAnsi="Times New Roman"/>
          <w:sz w:val="22"/>
        </w:rPr>
        <w:t>20:4-5 (October-December 2010)</w:t>
      </w:r>
    </w:p>
    <w:p w:rsidR="00796E2E" w:rsidRPr="00796E2E" w:rsidRDefault="00796E2E" w:rsidP="00796E2E">
      <w:pPr>
        <w:spacing w:after="120"/>
        <w:rPr>
          <w:rFonts w:ascii="Times New Roman" w:hAnsi="Times New Roman"/>
          <w:sz w:val="22"/>
        </w:rPr>
      </w:pPr>
    </w:p>
    <w:p w:rsidR="00796E2E" w:rsidRPr="00796E2E" w:rsidRDefault="00796E2E" w:rsidP="00796E2E">
      <w:pPr>
        <w:spacing w:after="120"/>
        <w:rPr>
          <w:rFonts w:ascii="Times New Roman" w:hAnsi="Times New Roman"/>
          <w:b/>
          <w:sz w:val="22"/>
        </w:rPr>
      </w:pPr>
      <w:r w:rsidRPr="00796E2E">
        <w:rPr>
          <w:rFonts w:ascii="Times New Roman" w:hAnsi="Times New Roman"/>
          <w:b/>
          <w:sz w:val="22"/>
        </w:rPr>
        <w:t>Overview:</w:t>
      </w:r>
    </w:p>
    <w:p w:rsidR="00796E2E" w:rsidRDefault="00796E2E" w:rsidP="00796E2E">
      <w:pPr>
        <w:spacing w:after="120"/>
        <w:rPr>
          <w:rFonts w:ascii="Times New Roman" w:hAnsi="Times New Roman"/>
          <w:sz w:val="22"/>
        </w:rPr>
      </w:pPr>
      <w:r w:rsidRPr="00796E2E">
        <w:rPr>
          <w:rFonts w:ascii="Times New Roman" w:hAnsi="Times New Roman"/>
          <w:sz w:val="22"/>
        </w:rPr>
        <w:t xml:space="preserve">Introduction to a collection of articles on this subject (special issue) - Regions now wield greater authority than they did in the 1970s. Strengthening of regional </w:t>
      </w:r>
      <w:proofErr w:type="spellStart"/>
      <w:r w:rsidRPr="00796E2E">
        <w:rPr>
          <w:rFonts w:ascii="Times New Roman" w:hAnsi="Times New Roman"/>
          <w:sz w:val="22"/>
        </w:rPr>
        <w:t>gov’t</w:t>
      </w:r>
      <w:proofErr w:type="spellEnd"/>
      <w:r w:rsidRPr="00796E2E">
        <w:rPr>
          <w:rFonts w:ascii="Times New Roman" w:hAnsi="Times New Roman"/>
          <w:sz w:val="22"/>
        </w:rPr>
        <w:t xml:space="preserve"> and supposed erosion of expectations of </w:t>
      </w:r>
      <w:proofErr w:type="gramStart"/>
      <w:r w:rsidRPr="00796E2E">
        <w:rPr>
          <w:rFonts w:ascii="Times New Roman" w:hAnsi="Times New Roman"/>
          <w:sz w:val="22"/>
        </w:rPr>
        <w:t>state-wide</w:t>
      </w:r>
      <w:proofErr w:type="gramEnd"/>
      <w:r w:rsidRPr="00796E2E">
        <w:rPr>
          <w:rFonts w:ascii="Times New Roman" w:hAnsi="Times New Roman"/>
          <w:sz w:val="22"/>
        </w:rPr>
        <w:t xml:space="preserve"> policy uniformity suggest now is a good time to re-examine regions as ‘small worlds’. Authors of the collection identify regions as sub-state polities with legislative capacities, looking across regions for influence of cultural capacity, etc.</w:t>
      </w:r>
    </w:p>
    <w:p w:rsidR="00796E2E" w:rsidRDefault="00796E2E" w:rsidP="00796E2E">
      <w:pPr>
        <w:spacing w:after="120"/>
        <w:rPr>
          <w:rFonts w:ascii="Times New Roman" w:hAnsi="Times New Roman"/>
          <w:b/>
          <w:sz w:val="22"/>
        </w:rPr>
      </w:pPr>
      <w:r>
        <w:rPr>
          <w:rFonts w:ascii="Times New Roman" w:hAnsi="Times New Roman"/>
          <w:b/>
          <w:sz w:val="22"/>
        </w:rPr>
        <w:t>How meaningful are regions?</w:t>
      </w:r>
    </w:p>
    <w:p w:rsidR="00796E2E" w:rsidRDefault="00796E2E" w:rsidP="00796E2E">
      <w:pPr>
        <w:spacing w:after="120"/>
        <w:rPr>
          <w:rFonts w:ascii="Times New Roman" w:hAnsi="Times New Roman"/>
          <w:sz w:val="22"/>
        </w:rPr>
      </w:pPr>
      <w:r>
        <w:rPr>
          <w:rFonts w:ascii="Times New Roman" w:hAnsi="Times New Roman"/>
          <w:sz w:val="22"/>
        </w:rPr>
        <w:t>Regions differ on their definition – can be defiled (1) as constituent units of federations and (2) by shared demographic or economic characteristics. This body of work “provides compelling evidence of regional variations in attitudes and behaviours, and confirms that for regions to be politically salient they need not necessarily conform to intrastate boundaries.” 2 reasons for this:</w:t>
      </w:r>
    </w:p>
    <w:p w:rsidR="00796E2E" w:rsidRDefault="00796E2E" w:rsidP="00796E2E">
      <w:pPr>
        <w:pStyle w:val="ListParagraph"/>
        <w:numPr>
          <w:ilvl w:val="0"/>
          <w:numId w:val="1"/>
        </w:numPr>
        <w:spacing w:after="120"/>
        <w:rPr>
          <w:rFonts w:ascii="Times New Roman" w:hAnsi="Times New Roman"/>
          <w:sz w:val="22"/>
        </w:rPr>
      </w:pPr>
      <w:r w:rsidRPr="00796E2E">
        <w:rPr>
          <w:rFonts w:ascii="Times New Roman" w:hAnsi="Times New Roman"/>
          <w:sz w:val="22"/>
        </w:rPr>
        <w:t xml:space="preserve">Political salience of region may not stem from region itself, but rather from the demographic variation that exists </w:t>
      </w:r>
      <w:r w:rsidRPr="00796E2E">
        <w:rPr>
          <w:rFonts w:ascii="Times New Roman" w:hAnsi="Times New Roman"/>
          <w:i/>
          <w:sz w:val="22"/>
        </w:rPr>
        <w:t>across</w:t>
      </w:r>
      <w:r w:rsidRPr="00796E2E">
        <w:rPr>
          <w:rFonts w:ascii="Times New Roman" w:hAnsi="Times New Roman"/>
          <w:sz w:val="22"/>
        </w:rPr>
        <w:t xml:space="preserve"> them</w:t>
      </w:r>
    </w:p>
    <w:p w:rsidR="00796E2E" w:rsidRPr="00796E2E" w:rsidRDefault="00796E2E" w:rsidP="00796E2E">
      <w:pPr>
        <w:pStyle w:val="ListParagraph"/>
        <w:numPr>
          <w:ilvl w:val="1"/>
          <w:numId w:val="1"/>
        </w:numPr>
        <w:spacing w:after="120"/>
        <w:rPr>
          <w:rFonts w:ascii="Times New Roman" w:hAnsi="Times New Roman"/>
          <w:sz w:val="22"/>
        </w:rPr>
      </w:pPr>
      <w:r w:rsidRPr="00796E2E">
        <w:rPr>
          <w:rFonts w:ascii="Times New Roman" w:hAnsi="Times New Roman"/>
          <w:sz w:val="22"/>
        </w:rPr>
        <w:t>Demographic characteristics may cluster in a region</w:t>
      </w:r>
    </w:p>
    <w:p w:rsidR="00796E2E" w:rsidRPr="00796E2E" w:rsidRDefault="00796E2E" w:rsidP="00796E2E">
      <w:pPr>
        <w:pStyle w:val="ListParagraph"/>
        <w:numPr>
          <w:ilvl w:val="0"/>
          <w:numId w:val="1"/>
        </w:numPr>
        <w:spacing w:after="120"/>
        <w:rPr>
          <w:rFonts w:ascii="Times New Roman" w:hAnsi="Times New Roman"/>
          <w:sz w:val="22"/>
        </w:rPr>
      </w:pPr>
      <w:r w:rsidRPr="00796E2E">
        <w:rPr>
          <w:rFonts w:ascii="Times New Roman" w:hAnsi="Times New Roman"/>
          <w:sz w:val="22"/>
        </w:rPr>
        <w:t>Sub-state polities are capable of generating the distinct political cultures that drive (or are characterized by) regional variations in attitudes/behaviours</w:t>
      </w:r>
    </w:p>
    <w:p w:rsidR="00796E2E" w:rsidRPr="00796E2E" w:rsidRDefault="00796E2E" w:rsidP="00796E2E">
      <w:pPr>
        <w:pStyle w:val="ListParagraph"/>
        <w:numPr>
          <w:ilvl w:val="1"/>
          <w:numId w:val="1"/>
        </w:numPr>
        <w:spacing w:after="120"/>
        <w:rPr>
          <w:rFonts w:ascii="Times New Roman" w:hAnsi="Times New Roman"/>
          <w:sz w:val="22"/>
        </w:rPr>
      </w:pPr>
      <w:r w:rsidRPr="00796E2E">
        <w:rPr>
          <w:rFonts w:ascii="Times New Roman" w:hAnsi="Times New Roman"/>
          <w:sz w:val="22"/>
        </w:rPr>
        <w:t>This could be mediated by regionally controlled education system (socialization)</w:t>
      </w:r>
    </w:p>
    <w:p w:rsidR="00796E2E" w:rsidRPr="00796E2E" w:rsidRDefault="00796E2E" w:rsidP="00796E2E">
      <w:pPr>
        <w:pStyle w:val="ListParagraph"/>
        <w:numPr>
          <w:ilvl w:val="1"/>
          <w:numId w:val="1"/>
        </w:numPr>
        <w:spacing w:after="120"/>
        <w:rPr>
          <w:rFonts w:ascii="Times New Roman" w:hAnsi="Times New Roman"/>
          <w:sz w:val="22"/>
        </w:rPr>
      </w:pPr>
      <w:r w:rsidRPr="00796E2E">
        <w:rPr>
          <w:rFonts w:ascii="Times New Roman" w:hAnsi="Times New Roman"/>
          <w:sz w:val="22"/>
        </w:rPr>
        <w:t>Breton’s view of institutional completeness – that institutions can sustain sense of distinctiveness</w:t>
      </w:r>
    </w:p>
    <w:p w:rsidR="00796E2E" w:rsidRPr="00796E2E" w:rsidRDefault="00796E2E" w:rsidP="00796E2E">
      <w:pPr>
        <w:spacing w:after="120"/>
        <w:rPr>
          <w:rFonts w:ascii="Times New Roman" w:hAnsi="Times New Roman"/>
          <w:b/>
          <w:sz w:val="22"/>
        </w:rPr>
      </w:pPr>
      <w:r w:rsidRPr="00796E2E">
        <w:rPr>
          <w:rFonts w:ascii="Times New Roman" w:hAnsi="Times New Roman"/>
          <w:b/>
          <w:sz w:val="22"/>
        </w:rPr>
        <w:t>How much ‘national’ unity is required for a polity to function well?</w:t>
      </w:r>
    </w:p>
    <w:p w:rsidR="008F5FFE" w:rsidRPr="00CD5B73" w:rsidRDefault="008F5FFE" w:rsidP="008F5FFE">
      <w:pPr>
        <w:pStyle w:val="ListParagraph"/>
        <w:numPr>
          <w:ilvl w:val="0"/>
          <w:numId w:val="2"/>
        </w:numPr>
        <w:spacing w:after="120"/>
        <w:rPr>
          <w:rFonts w:ascii="Times New Roman" w:hAnsi="Times New Roman"/>
          <w:sz w:val="22"/>
        </w:rPr>
      </w:pPr>
      <w:r w:rsidRPr="00CD5B73">
        <w:rPr>
          <w:rFonts w:ascii="Times New Roman" w:hAnsi="Times New Roman"/>
          <w:i/>
          <w:sz w:val="22"/>
        </w:rPr>
        <w:t>Small Worlds</w:t>
      </w:r>
      <w:r w:rsidRPr="00CD5B73">
        <w:rPr>
          <w:rFonts w:ascii="Times New Roman" w:hAnsi="Times New Roman"/>
          <w:sz w:val="22"/>
        </w:rPr>
        <w:t xml:space="preserve"> appeared at a time when pre-occupation of national unity was particularly high</w:t>
      </w:r>
    </w:p>
    <w:p w:rsidR="008F5FFE" w:rsidRPr="00CD5B73" w:rsidRDefault="008F5FFE" w:rsidP="008F5FFE">
      <w:pPr>
        <w:pStyle w:val="ListParagraph"/>
        <w:numPr>
          <w:ilvl w:val="0"/>
          <w:numId w:val="2"/>
        </w:numPr>
        <w:spacing w:after="120"/>
        <w:rPr>
          <w:rFonts w:ascii="Times New Roman" w:hAnsi="Times New Roman"/>
          <w:sz w:val="22"/>
        </w:rPr>
      </w:pPr>
      <w:r w:rsidRPr="00CD5B73">
        <w:rPr>
          <w:rFonts w:ascii="Times New Roman" w:hAnsi="Times New Roman"/>
          <w:sz w:val="22"/>
        </w:rPr>
        <w:t xml:space="preserve">For Almond and </w:t>
      </w:r>
      <w:proofErr w:type="spellStart"/>
      <w:r w:rsidRPr="00CD5B73">
        <w:rPr>
          <w:rFonts w:ascii="Times New Roman" w:hAnsi="Times New Roman"/>
          <w:sz w:val="22"/>
        </w:rPr>
        <w:t>Verba</w:t>
      </w:r>
      <w:proofErr w:type="spellEnd"/>
      <w:r w:rsidRPr="00CD5B73">
        <w:rPr>
          <w:rFonts w:ascii="Times New Roman" w:hAnsi="Times New Roman"/>
          <w:sz w:val="22"/>
        </w:rPr>
        <w:t>, identification with the state a key component of democratic stability – and attachment to other groups (religious, ethnic, otherwise) = a risk factor for unity</w:t>
      </w:r>
    </w:p>
    <w:p w:rsidR="00CD5B73" w:rsidRPr="00CD5B73" w:rsidRDefault="008F5FFE" w:rsidP="008F5FFE">
      <w:pPr>
        <w:pStyle w:val="ListParagraph"/>
        <w:numPr>
          <w:ilvl w:val="1"/>
          <w:numId w:val="2"/>
        </w:numPr>
        <w:spacing w:after="120"/>
        <w:rPr>
          <w:rFonts w:ascii="Times New Roman" w:hAnsi="Times New Roman"/>
          <w:sz w:val="22"/>
        </w:rPr>
      </w:pPr>
      <w:r w:rsidRPr="00CD5B73">
        <w:rPr>
          <w:rFonts w:ascii="Times New Roman" w:hAnsi="Times New Roman"/>
          <w:sz w:val="22"/>
        </w:rPr>
        <w:t xml:space="preserve">This argument now sits uneasily with </w:t>
      </w:r>
      <w:r w:rsidR="00CD5B73" w:rsidRPr="00CD5B73">
        <w:rPr>
          <w:rFonts w:ascii="Times New Roman" w:hAnsi="Times New Roman"/>
          <w:sz w:val="22"/>
        </w:rPr>
        <w:t xml:space="preserve">lit. </w:t>
      </w:r>
      <w:proofErr w:type="gramStart"/>
      <w:r w:rsidR="00CD5B73" w:rsidRPr="00CD5B73">
        <w:rPr>
          <w:rFonts w:ascii="Times New Roman" w:hAnsi="Times New Roman"/>
          <w:sz w:val="22"/>
        </w:rPr>
        <w:t>on</w:t>
      </w:r>
      <w:proofErr w:type="gramEnd"/>
      <w:r w:rsidR="00CD5B73" w:rsidRPr="00CD5B73">
        <w:rPr>
          <w:rFonts w:ascii="Times New Roman" w:hAnsi="Times New Roman"/>
          <w:sz w:val="22"/>
        </w:rPr>
        <w:t xml:space="preserve"> national pluralism</w:t>
      </w:r>
    </w:p>
    <w:p w:rsidR="00CD5B73" w:rsidRPr="00CD5B73" w:rsidRDefault="00CD5B73" w:rsidP="00CD5B73">
      <w:pPr>
        <w:pStyle w:val="ListParagraph"/>
        <w:numPr>
          <w:ilvl w:val="0"/>
          <w:numId w:val="2"/>
        </w:numPr>
        <w:spacing w:after="120"/>
        <w:rPr>
          <w:rFonts w:ascii="Times New Roman" w:hAnsi="Times New Roman"/>
          <w:sz w:val="22"/>
        </w:rPr>
      </w:pPr>
      <w:r w:rsidRPr="00CD5B73">
        <w:rPr>
          <w:rFonts w:ascii="Times New Roman" w:hAnsi="Times New Roman"/>
          <w:sz w:val="22"/>
        </w:rPr>
        <w:t>While regionally-based attitudinal diversity may not pose risk to national stability, it may have other features – i.e. undermining redistributive welfare regimes</w:t>
      </w:r>
    </w:p>
    <w:p w:rsidR="00796E2E" w:rsidRPr="00CD5B73" w:rsidRDefault="00CD5B73" w:rsidP="00CD5B73">
      <w:pPr>
        <w:pStyle w:val="ListParagraph"/>
        <w:numPr>
          <w:ilvl w:val="0"/>
          <w:numId w:val="2"/>
        </w:numPr>
        <w:spacing w:after="120"/>
        <w:rPr>
          <w:rFonts w:ascii="Times New Roman" w:hAnsi="Times New Roman"/>
          <w:sz w:val="22"/>
        </w:rPr>
      </w:pPr>
      <w:r w:rsidRPr="00CD5B73">
        <w:rPr>
          <w:rFonts w:ascii="Times New Roman" w:hAnsi="Times New Roman"/>
          <w:sz w:val="22"/>
        </w:rPr>
        <w:t xml:space="preserve">Strong regions can make it difficult for citizens to know who to hold accountable for policy successes and failures – casualty not state unity, but rather ability of votes to discharge duties as </w:t>
      </w:r>
      <w:proofErr w:type="gramStart"/>
      <w:r w:rsidRPr="00CD5B73">
        <w:rPr>
          <w:rFonts w:ascii="Times New Roman" w:hAnsi="Times New Roman"/>
          <w:sz w:val="22"/>
        </w:rPr>
        <w:t>citizens</w:t>
      </w:r>
      <w:proofErr w:type="gramEnd"/>
    </w:p>
    <w:sectPr w:rsidR="00796E2E" w:rsidRPr="00CD5B73" w:rsidSect="00796E2E">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17984"/>
    <w:multiLevelType w:val="hybridMultilevel"/>
    <w:tmpl w:val="024A1F02"/>
    <w:lvl w:ilvl="0" w:tplc="317498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D5E2A1B"/>
    <w:multiLevelType w:val="hybridMultilevel"/>
    <w:tmpl w:val="17FED1CC"/>
    <w:lvl w:ilvl="0" w:tplc="EF60CBDA">
      <w:start w:val="1"/>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96E2E"/>
    <w:rsid w:val="00796E2E"/>
    <w:rsid w:val="008F5FFE"/>
    <w:rsid w:val="00CD5B7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E2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96E2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2012-04-25T14:11:00Z</dcterms:created>
  <dcterms:modified xsi:type="dcterms:W3CDTF">2012-04-25T14:43:00Z</dcterms:modified>
</cp:coreProperties>
</file>